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Fiche bac sur Rabelais, Gargantua, chapitre XXIII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b/>
          <w:color w:val="9BBB59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9BBB59"/>
          <w:spacing w:val="0"/>
          <w:position w:val="0"/>
          <w:sz w:val="32"/>
          <w:shd w:fill="auto" w:val="clear"/>
        </w:rPr>
        <w:t xml:space="preserve">1er Mouvement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9BBB59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9BBB59"/>
          <w:spacing w:val="0"/>
          <w:position w:val="0"/>
          <w:sz w:val="32"/>
          <w:shd w:fill="auto" w:val="clear"/>
        </w:rPr>
        <w:t xml:space="preserve"> l'éveil de Gargantua et 1ère lecture </w:t>
      </w:r>
    </w:p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b/>
          <w:color w:val="9BBB59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Idées / </w:t>
      </w:r>
      <w:r>
        <w:rPr>
          <w:rFonts w:ascii="Arial Black" w:hAnsi="Arial Black" w:cs="Arial Black" w:eastAsia="Arial Black"/>
          <w:b/>
          <w:color w:val="C0504D"/>
          <w:spacing w:val="0"/>
          <w:position w:val="0"/>
          <w:sz w:val="28"/>
          <w:shd w:fill="auto" w:val="clear"/>
        </w:rPr>
        <w:t xml:space="preserve">Procédés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Réveil à heure fixe, 4h. Matinal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Mise en avant de l'idée par la clausule par opposition au précédent précepteur - heure tardive évoquée par l'opposition "frictionne" et "se vautrait" -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Annonciateur de l'importance donnée au sport : soin du corps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"Il est frictionné"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Importance de la première lecture consacrée à la bible "Saintes Ecritures"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Valorisation du sacré "Saintes", ton respectueux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Compréhension du texte religieux "A voix haute et claire" 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"Avec la prononciation requise" par opposition aux lectures marmonées pendant les repas des Abbayes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une bonne lecture pour une meilleure compréhension a pour conséquence de "révérer, adorer, prier, supplier" = expression de la foi chez Rabelais </w:t>
      </w:r>
    </w:p>
    <w:p>
      <w:pPr>
        <w:numPr>
          <w:ilvl w:val="0"/>
          <w:numId w:val="11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b/>
          <w:color w:val="C0504D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Enumération et clausule "Majesté et merveilleux jugements"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Retour aux fonctions naturelles de l'homme : l'étude se poursuit sans perdre de temps. 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Comique un peu burlesque : "secrets" pour dire toilettes. Jusque dans les toilettes le précepteur explique "les passages les plus obscurs et les plus difficiles"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b/>
          <w:color w:val="C0504D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Idée soulignée par les superlatifs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C0504D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C0504D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b/>
          <w:color w:val="9BBB59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9BBB59"/>
          <w:spacing w:val="0"/>
          <w:position w:val="0"/>
          <w:sz w:val="32"/>
          <w:shd w:fill="auto" w:val="clear"/>
        </w:rPr>
        <w:t xml:space="preserve">2ème Mouvement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9BBB59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9BBB59"/>
          <w:spacing w:val="0"/>
          <w:position w:val="0"/>
          <w:sz w:val="32"/>
          <w:shd w:fill="auto" w:val="clear"/>
        </w:rPr>
        <w:t xml:space="preserve"> Révisions des leçons de la veille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Idées / </w:t>
      </w:r>
      <w:r>
        <w:rPr>
          <w:rFonts w:ascii="Arial Black" w:hAnsi="Arial Black" w:cs="Arial Black" w:eastAsia="Arial Black"/>
          <w:b/>
          <w:color w:val="C0504D"/>
          <w:spacing w:val="0"/>
          <w:position w:val="0"/>
          <w:sz w:val="28"/>
          <w:shd w:fill="auto" w:val="clear"/>
        </w:rPr>
        <w:t xml:space="preserve">Procédés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Après la première lecture, vient la nouvelle leçon : l'astronomie "L'Etat du ciel". Le repérage est minutieux et l'astronomie est valorisée comme une conquête de l'humanisme : une connaissance de l'univers et des moyens de s'orienter sur les mers. 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Comparaison "comme ils l'avaient remarqué la veille au soir"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Le leçon d'astronomie suppose l'observation ainsi que le suggère le champ lexical de la vue : "Ils considéraient", "regardant", "avaient remarqué".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La valorisation et le soin apportés au corps est un moment privilégié : habillage - coiffure - raffinement </w:t>
      </w:r>
    </w:p>
    <w:p>
      <w:pPr>
        <w:numPr>
          <w:ilvl w:val="0"/>
          <w:numId w:val="20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Enumération : "Il était habillé, peigné, coiffé, apprêté et parfumé"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Révisions des leçons de la veille. L'étude comprend du "par coeur" et de la compréhension, elle est complétée par des analyses. </w:t>
      </w:r>
    </w:p>
    <w:p>
      <w:pPr>
        <w:numPr>
          <w:ilvl w:val="0"/>
          <w:numId w:val="22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b/>
          <w:color w:val="C0504D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Théorie et pratique sont à la base des révisions "exemples pratiques sur la condition humaine" sur un laps de temps de trois heures. </w:t>
      </w:r>
    </w:p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b/>
          <w:color w:val="9BBB59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b/>
          <w:color w:val="9BBB59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9BBB59"/>
          <w:spacing w:val="0"/>
          <w:position w:val="0"/>
          <w:sz w:val="32"/>
          <w:shd w:fill="auto" w:val="clear"/>
        </w:rPr>
        <w:t xml:space="preserve">3ème Mouvement </w:t>
      </w:r>
    </w:p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b/>
          <w:color w:val="9BBB59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9BBB59"/>
          <w:spacing w:val="0"/>
          <w:position w:val="0"/>
          <w:sz w:val="32"/>
          <w:shd w:fill="auto" w:val="clear"/>
        </w:rPr>
        <w:t xml:space="preserve"> La leçon du jour et le sport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Idées / </w:t>
      </w:r>
      <w:r>
        <w:rPr>
          <w:rFonts w:ascii="Arial Black" w:hAnsi="Arial Black" w:cs="Arial Black" w:eastAsia="Arial Black"/>
          <w:b/>
          <w:color w:val="C0504D"/>
          <w:spacing w:val="0"/>
          <w:position w:val="0"/>
          <w:sz w:val="28"/>
          <w:shd w:fill="auto" w:val="clear"/>
        </w:rPr>
        <w:t xml:space="preserve">Procédés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Après les lectures comprises et les observations acquises, l'enseignement se poursuit sur "trois bonnes heures" avec de nouvelles lectures. On peut supposer des lectures d'auteurs comme Erasme, Aristote, Platon, Hérodote.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La sortie : "Ils sortaient toujours en discutant"</w:t>
      </w:r>
    </w:p>
    <w:p>
      <w:pPr>
        <w:numPr>
          <w:ilvl w:val="0"/>
          <w:numId w:val="26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Valorisation de la parole et du partage par l'échange dans les débats et l'argumentation au sujet des lectures.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Le sport : "balle, paume, ballon"</w:t>
      </w:r>
    </w:p>
    <w:p>
      <w:pPr>
        <w:numPr>
          <w:ilvl w:val="0"/>
          <w:numId w:val="28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Rythme ternaire en énumération qui annonce l'importance accordée au corps qui s'exerce "élégamment" = un adverbe de manière et une comparaison "comme ils s'étaient auparavant exercé les âmes". Un parallélisme qui traduit l'équilibre dans l'enseignement du corps et de l'esprit.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Le choix des activités est libre "tous leurs jeux n'étaient que liberté" </w:t>
      </w:r>
    </w:p>
    <w:p>
      <w:pPr>
        <w:numPr>
          <w:ilvl w:val="0"/>
          <w:numId w:val="30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La négation restrictive "ne...que" insiste sur l'idée d'une expérience éducative moderne car la liberté est associée au plaisir.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L'attente du repas est ainsi plaisante et studieuse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Analogie à L'Abbaye de Thélème. </w:t>
      </w:r>
    </w:p>
    <w:p>
      <w:pPr>
        <w:numPr>
          <w:ilvl w:val="0"/>
          <w:numId w:val="32"/>
        </w:numPr>
        <w:spacing w:before="0" w:after="200" w:line="276"/>
        <w:ind w:right="0" w:left="720" w:hanging="360"/>
        <w:jc w:val="both"/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Plaisir + entraînement intense + hygiène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C0504D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b/>
          <w:color w:val="9BBB59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9BBB59"/>
          <w:spacing w:val="0"/>
          <w:position w:val="0"/>
          <w:sz w:val="32"/>
          <w:shd w:fill="auto" w:val="clear"/>
        </w:rPr>
        <w:t xml:space="preserve">4ème Mouvement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9BBB59"/>
          <w:spacing w:val="0"/>
          <w:position w:val="0"/>
          <w:sz w:val="32"/>
          <w:shd w:fill="auto" w:val="clear"/>
        </w:rPr>
      </w:pPr>
      <w:r>
        <w:rPr>
          <w:rFonts w:ascii="Arial Black" w:hAnsi="Arial Black" w:cs="Arial Black" w:eastAsia="Arial Black"/>
          <w:b/>
          <w:color w:val="9BBB59"/>
          <w:spacing w:val="0"/>
          <w:position w:val="0"/>
          <w:sz w:val="32"/>
          <w:shd w:fill="auto" w:val="clear"/>
        </w:rPr>
        <w:t xml:space="preserve"> Le repas</w:t>
      </w:r>
    </w:p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Idées / </w:t>
      </w:r>
      <w:r>
        <w:rPr>
          <w:rFonts w:ascii="Arial Black" w:hAnsi="Arial Black" w:cs="Arial Black" w:eastAsia="Arial Black"/>
          <w:b/>
          <w:color w:val="C0504D"/>
          <w:spacing w:val="0"/>
          <w:position w:val="0"/>
          <w:sz w:val="28"/>
          <w:shd w:fill="auto" w:val="clear"/>
        </w:rPr>
        <w:t xml:space="preserve">Procédés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Le repas est annoncé avec humour par l'expression "Monsieur l'Appétit" </w:t>
      </w:r>
    </w:p>
    <w:p>
      <w:pPr>
        <w:numPr>
          <w:ilvl w:val="0"/>
          <w:numId w:val="37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b/>
          <w:color w:val="C0504D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C0504D"/>
          <w:spacing w:val="0"/>
          <w:position w:val="0"/>
          <w:sz w:val="28"/>
          <w:shd w:fill="auto" w:val="clear"/>
        </w:rPr>
        <w:t xml:space="preserve">Une personnification qui suggère l'importance de l'appétit dans l'oeuvre de Rabelais. Mais ici l'appétit n'a rien à voir avec l'appétit dévastateur. Il arrive au "bon moment" et fait écho à l'idée d'équilibre caractéristique de l'apprentissage.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C0504D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5">
    <w:abstractNumId w:val="72"/>
  </w:num>
  <w:num w:numId="7">
    <w:abstractNumId w:val="66"/>
  </w:num>
  <w:num w:numId="9">
    <w:abstractNumId w:val="60"/>
  </w:num>
  <w:num w:numId="11">
    <w:abstractNumId w:val="54"/>
  </w:num>
  <w:num w:numId="13">
    <w:abstractNumId w:val="48"/>
  </w:num>
  <w:num w:numId="18">
    <w:abstractNumId w:val="42"/>
  </w:num>
  <w:num w:numId="20">
    <w:abstractNumId w:val="36"/>
  </w:num>
  <w:num w:numId="22">
    <w:abstractNumId w:val="30"/>
  </w:num>
  <w:num w:numId="26">
    <w:abstractNumId w:val="24"/>
  </w:num>
  <w:num w:numId="28">
    <w:abstractNumId w:val="18"/>
  </w:num>
  <w:num w:numId="30">
    <w:abstractNumId w:val="12"/>
  </w:num>
  <w:num w:numId="32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